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1CF2" w14:textId="500C14BA" w:rsidR="009F51E1" w:rsidRDefault="008B1AF9" w:rsidP="00C766FC">
      <w:pPr>
        <w:spacing w:after="0"/>
        <w:ind w:left="-1219" w:right="-1272"/>
      </w:pPr>
      <w:r>
        <w:rPr>
          <w:noProof/>
        </w:rPr>
        <w:drawing>
          <wp:inline distT="0" distB="0" distL="0" distR="0" wp14:anchorId="1810C7E4" wp14:editId="26A6B474">
            <wp:extent cx="5081016" cy="7275577"/>
            <wp:effectExtent l="0" t="0" r="0" b="0"/>
            <wp:docPr id="2803" name="Picture 2803" descr="Armed Forces Veteran Friendly Accredited GP Practice&#10;Top Tips for Veterans"/>
            <wp:cNvGraphicFramePr/>
            <a:graphic xmlns:a="http://schemas.openxmlformats.org/drawingml/2006/main">
              <a:graphicData uri="http://schemas.openxmlformats.org/drawingml/2006/picture">
                <pic:pic xmlns:pic="http://schemas.openxmlformats.org/drawingml/2006/picture">
                  <pic:nvPicPr>
                    <pic:cNvPr id="2803" name="Picture 2803" descr="Armed Forces Veteran Friendly Accredited GP Practice&#10;Top Tips for Veterans"/>
                    <pic:cNvPicPr/>
                  </pic:nvPicPr>
                  <pic:blipFill>
                    <a:blip r:embed="rId5"/>
                    <a:stretch>
                      <a:fillRect/>
                    </a:stretch>
                  </pic:blipFill>
                  <pic:spPr>
                    <a:xfrm>
                      <a:off x="0" y="0"/>
                      <a:ext cx="5081016" cy="7275577"/>
                    </a:xfrm>
                    <a:prstGeom prst="rect">
                      <a:avLst/>
                    </a:prstGeom>
                  </pic:spPr>
                </pic:pic>
              </a:graphicData>
            </a:graphic>
          </wp:inline>
        </w:drawing>
      </w:r>
    </w:p>
    <w:tbl>
      <w:tblPr>
        <w:tblStyle w:val="TableGrid"/>
        <w:tblW w:w="7994" w:type="dxa"/>
        <w:tblInd w:w="-1213" w:type="dxa"/>
        <w:tblCellMar>
          <w:left w:w="142" w:type="dxa"/>
          <w:right w:w="157" w:type="dxa"/>
        </w:tblCellMar>
        <w:tblLook w:val="04A0" w:firstRow="1" w:lastRow="0" w:firstColumn="1" w:lastColumn="0" w:noHBand="0" w:noVBand="1"/>
      </w:tblPr>
      <w:tblGrid>
        <w:gridCol w:w="7994"/>
      </w:tblGrid>
      <w:tr w:rsidR="009F51E1" w14:paraId="4B837844" w14:textId="77777777">
        <w:trPr>
          <w:trHeight w:val="5597"/>
        </w:trPr>
        <w:tc>
          <w:tcPr>
            <w:tcW w:w="7994" w:type="dxa"/>
            <w:vMerge w:val="restart"/>
            <w:tcBorders>
              <w:top w:val="nil"/>
              <w:left w:val="nil"/>
              <w:bottom w:val="nil"/>
              <w:right w:val="nil"/>
            </w:tcBorders>
            <w:shd w:val="clear" w:color="auto" w:fill="E0EFF8"/>
            <w:vAlign w:val="center"/>
          </w:tcPr>
          <w:p w14:paraId="1CCA1AEA" w14:textId="77777777" w:rsidR="00B710C7" w:rsidRPr="00C766FC" w:rsidRDefault="008B1AF9">
            <w:pPr>
              <w:spacing w:line="302" w:lineRule="auto"/>
              <w:ind w:left="113"/>
              <w:jc w:val="both"/>
              <w:rPr>
                <w:rFonts w:ascii="Times New Roman" w:eastAsia="Times New Roman" w:hAnsi="Times New Roman" w:cs="Times New Roman"/>
                <w:color w:val="1D2F4E"/>
                <w:sz w:val="32"/>
                <w:szCs w:val="32"/>
              </w:rPr>
            </w:pPr>
            <w:r w:rsidRPr="00C766FC">
              <w:rPr>
                <w:rFonts w:ascii="Times New Roman" w:eastAsia="Times New Roman" w:hAnsi="Times New Roman" w:cs="Times New Roman"/>
                <w:color w:val="1D2F4E"/>
                <w:sz w:val="32"/>
                <w:szCs w:val="32"/>
              </w:rPr>
              <w:lastRenderedPageBreak/>
              <w:t>How to get the most</w:t>
            </w:r>
            <w:r w:rsidR="00B710C7" w:rsidRPr="00C766FC">
              <w:rPr>
                <w:rFonts w:ascii="Times New Roman" w:eastAsia="Times New Roman" w:hAnsi="Times New Roman" w:cs="Times New Roman"/>
                <w:color w:val="1D2F4E"/>
                <w:sz w:val="32"/>
                <w:szCs w:val="32"/>
              </w:rPr>
              <w:t xml:space="preserve"> </w:t>
            </w:r>
            <w:r w:rsidRPr="00C766FC">
              <w:rPr>
                <w:rFonts w:ascii="Times New Roman" w:eastAsia="Times New Roman" w:hAnsi="Times New Roman" w:cs="Times New Roman"/>
                <w:color w:val="1D2F4E"/>
                <w:sz w:val="32"/>
                <w:szCs w:val="32"/>
              </w:rPr>
              <w:t xml:space="preserve">from your GP </w:t>
            </w:r>
          </w:p>
          <w:p w14:paraId="2757CAD6" w14:textId="24923E79" w:rsidR="00B710C7" w:rsidRPr="00C766FC" w:rsidRDefault="00B710C7" w:rsidP="00B710C7">
            <w:pPr>
              <w:pStyle w:val="ListParagraph"/>
              <w:numPr>
                <w:ilvl w:val="0"/>
                <w:numId w:val="2"/>
              </w:numPr>
              <w:tabs>
                <w:tab w:val="center" w:pos="1723"/>
                <w:tab w:val="center" w:pos="6008"/>
              </w:tabs>
              <w:spacing w:after="28"/>
              <w:rPr>
                <w:rFonts w:ascii="Times New Roman" w:eastAsia="Times New Roman" w:hAnsi="Times New Roman" w:cs="Times New Roman"/>
                <w:color w:val="181717"/>
              </w:rPr>
            </w:pPr>
            <w:r w:rsidRPr="00C766FC">
              <w:rPr>
                <w:rFonts w:ascii="Times New Roman" w:eastAsia="Times New Roman" w:hAnsi="Times New Roman" w:cs="Times New Roman"/>
                <w:color w:val="181717"/>
              </w:rPr>
              <w:t>It is important to register with a GP, rather than wait until you need treatment. Visit the NHS website at www.nhs.uk to find details of GP practices in your local area.</w:t>
            </w:r>
          </w:p>
          <w:p w14:paraId="70FC92A2" w14:textId="77777777" w:rsidR="00B710C7" w:rsidRPr="00C766FC" w:rsidRDefault="00B710C7" w:rsidP="00B710C7">
            <w:pPr>
              <w:pStyle w:val="ListParagraph"/>
              <w:tabs>
                <w:tab w:val="center" w:pos="1723"/>
                <w:tab w:val="center" w:pos="6008"/>
              </w:tabs>
              <w:spacing w:after="28"/>
              <w:rPr>
                <w:rFonts w:ascii="Times New Roman" w:eastAsia="Times New Roman" w:hAnsi="Times New Roman" w:cs="Times New Roman"/>
                <w:color w:val="181717"/>
              </w:rPr>
            </w:pPr>
          </w:p>
          <w:p w14:paraId="1918EAAA" w14:textId="77777777" w:rsidR="00C766FC" w:rsidRPr="00C766FC" w:rsidRDefault="00B710C7" w:rsidP="00C766FC">
            <w:pPr>
              <w:pStyle w:val="ListParagraph"/>
              <w:numPr>
                <w:ilvl w:val="0"/>
                <w:numId w:val="2"/>
              </w:numPr>
              <w:tabs>
                <w:tab w:val="center" w:pos="1723"/>
                <w:tab w:val="center" w:pos="6008"/>
              </w:tabs>
              <w:spacing w:after="28"/>
              <w:rPr>
                <w:rFonts w:ascii="Times New Roman" w:eastAsia="Times New Roman" w:hAnsi="Times New Roman" w:cs="Times New Roman"/>
                <w:color w:val="181717"/>
              </w:rPr>
            </w:pPr>
            <w:r w:rsidRPr="00C766FC">
              <w:rPr>
                <w:rFonts w:ascii="Times New Roman" w:eastAsia="Times New Roman" w:hAnsi="Times New Roman" w:cs="Times New Roman"/>
                <w:color w:val="181717"/>
              </w:rPr>
              <w:t>If you’ve recently left the forces, it is important to give your GP the paperwork that your military medical centre gave you, including any medical records. This will help to make sure your military health record transfers to your NHS health record. This will also give your GP information on your health and ensure that any ongoing care and treatment is continued.</w:t>
            </w:r>
          </w:p>
          <w:p w14:paraId="6BEF2D22" w14:textId="77777777" w:rsidR="00C766FC" w:rsidRPr="00C766FC" w:rsidRDefault="00C766FC" w:rsidP="00C766FC">
            <w:pPr>
              <w:pStyle w:val="ListParagraph"/>
              <w:rPr>
                <w:rFonts w:ascii="Times New Roman" w:eastAsia="Times New Roman" w:hAnsi="Times New Roman" w:cs="Times New Roman"/>
                <w:color w:val="181717"/>
              </w:rPr>
            </w:pPr>
          </w:p>
          <w:p w14:paraId="13F11902" w14:textId="61312C4C" w:rsidR="00C766FC" w:rsidRPr="00C766FC" w:rsidRDefault="00B710C7" w:rsidP="00C766FC">
            <w:pPr>
              <w:pStyle w:val="ListParagraph"/>
              <w:numPr>
                <w:ilvl w:val="0"/>
                <w:numId w:val="2"/>
              </w:numPr>
              <w:tabs>
                <w:tab w:val="center" w:pos="1723"/>
                <w:tab w:val="center" w:pos="6008"/>
              </w:tabs>
              <w:spacing w:after="28"/>
              <w:rPr>
                <w:rFonts w:ascii="Times New Roman" w:eastAsia="Times New Roman" w:hAnsi="Times New Roman" w:cs="Times New Roman"/>
                <w:color w:val="181717"/>
              </w:rPr>
            </w:pPr>
            <w:r w:rsidRPr="00C766FC">
              <w:rPr>
                <w:rFonts w:ascii="Times New Roman" w:eastAsia="Times New Roman" w:hAnsi="Times New Roman" w:cs="Times New Roman"/>
                <w:color w:val="181717"/>
              </w:rPr>
              <w:t>Regardless of when you left the military, tell your GP that you’ve served in the UK Armed Forces. This will help your GP to better understand any military related health conditions that you may have and ensure that you are referred, where appropriate, to dedicated services for veterans. This includes the specialist mental and physical health services, Op COURAGE: The Veterans Mental Health and Wellbeing Service and the Veterans Trauma Network.</w:t>
            </w:r>
            <w:r w:rsidR="00C766FC" w:rsidRPr="00C766FC">
              <w:rPr>
                <w:rFonts w:ascii="Times New Roman" w:eastAsia="Times New Roman" w:hAnsi="Times New Roman" w:cs="Times New Roman"/>
                <w:color w:val="181717"/>
              </w:rPr>
              <w:t xml:space="preserve"> </w:t>
            </w:r>
          </w:p>
          <w:p w14:paraId="62989350" w14:textId="77777777" w:rsidR="00C766FC" w:rsidRPr="00C766FC" w:rsidRDefault="00B710C7" w:rsidP="00C766FC">
            <w:pPr>
              <w:pStyle w:val="ListParagraph"/>
              <w:tabs>
                <w:tab w:val="center" w:pos="1723"/>
                <w:tab w:val="center" w:pos="6008"/>
              </w:tabs>
              <w:spacing w:after="28"/>
              <w:rPr>
                <w:rFonts w:ascii="Times New Roman" w:hAnsi="Times New Roman" w:cs="Times New Roman"/>
              </w:rPr>
            </w:pPr>
            <w:r w:rsidRPr="00C766FC">
              <w:rPr>
                <w:rFonts w:ascii="Times New Roman" w:hAnsi="Times New Roman" w:cs="Times New Roman"/>
              </w:rPr>
              <w:t xml:space="preserve">When using these services, you will be able to speak to people who: </w:t>
            </w:r>
          </w:p>
          <w:p w14:paraId="60202382" w14:textId="77777777" w:rsidR="00C766FC" w:rsidRPr="00C766FC" w:rsidRDefault="00B710C7" w:rsidP="00C766FC">
            <w:pPr>
              <w:pStyle w:val="ListParagraph"/>
              <w:tabs>
                <w:tab w:val="center" w:pos="1723"/>
                <w:tab w:val="center" w:pos="6008"/>
              </w:tabs>
              <w:spacing w:after="28"/>
              <w:rPr>
                <w:rFonts w:ascii="Times New Roman" w:hAnsi="Times New Roman" w:cs="Times New Roman"/>
              </w:rPr>
            </w:pPr>
            <w:r w:rsidRPr="00C766FC">
              <w:rPr>
                <w:rFonts w:ascii="Times New Roman" w:hAnsi="Times New Roman" w:cs="Times New Roman"/>
              </w:rPr>
              <w:t>• understand the Armed Forces and military life</w:t>
            </w:r>
          </w:p>
          <w:p w14:paraId="153EFA2A" w14:textId="53C2A4D2" w:rsidR="00C766FC" w:rsidRPr="00C766FC" w:rsidRDefault="00B710C7" w:rsidP="00C766FC">
            <w:pPr>
              <w:pStyle w:val="ListParagraph"/>
              <w:tabs>
                <w:tab w:val="center" w:pos="1723"/>
                <w:tab w:val="center" w:pos="6008"/>
              </w:tabs>
              <w:spacing w:after="28"/>
              <w:rPr>
                <w:rFonts w:ascii="Times New Roman" w:hAnsi="Times New Roman" w:cs="Times New Roman"/>
              </w:rPr>
            </w:pPr>
            <w:r w:rsidRPr="00C766FC">
              <w:rPr>
                <w:rFonts w:ascii="Times New Roman" w:hAnsi="Times New Roman" w:cs="Times New Roman"/>
              </w:rPr>
              <w:t xml:space="preserve">• are either from the Armed Forces community or highly experienced in working with serving personnel, reservists, </w:t>
            </w:r>
            <w:proofErr w:type="gramStart"/>
            <w:r w:rsidRPr="00C766FC">
              <w:rPr>
                <w:rFonts w:ascii="Times New Roman" w:hAnsi="Times New Roman" w:cs="Times New Roman"/>
              </w:rPr>
              <w:t>veterans</w:t>
            </w:r>
            <w:proofErr w:type="gramEnd"/>
            <w:r w:rsidRPr="00C766FC">
              <w:rPr>
                <w:rFonts w:ascii="Times New Roman" w:hAnsi="Times New Roman" w:cs="Times New Roman"/>
              </w:rPr>
              <w:t xml:space="preserve"> and their families </w:t>
            </w:r>
          </w:p>
          <w:p w14:paraId="79A1819B" w14:textId="77777777" w:rsidR="00C766FC" w:rsidRPr="00C766FC" w:rsidRDefault="00B710C7" w:rsidP="00C766FC">
            <w:pPr>
              <w:pStyle w:val="ListParagraph"/>
              <w:tabs>
                <w:tab w:val="center" w:pos="1723"/>
                <w:tab w:val="center" w:pos="6008"/>
              </w:tabs>
              <w:spacing w:after="28"/>
              <w:rPr>
                <w:rFonts w:ascii="Times New Roman" w:hAnsi="Times New Roman" w:cs="Times New Roman"/>
              </w:rPr>
            </w:pPr>
            <w:r w:rsidRPr="00C766FC">
              <w:rPr>
                <w:rFonts w:ascii="Times New Roman" w:hAnsi="Times New Roman" w:cs="Times New Roman"/>
              </w:rPr>
              <w:t>• will work with you to make sure you get the right type of specialist care, support, and treatment</w:t>
            </w:r>
          </w:p>
          <w:p w14:paraId="5FE28408" w14:textId="43F61CFB" w:rsidR="00C766FC" w:rsidRPr="00C766FC" w:rsidRDefault="00B710C7" w:rsidP="00C766FC">
            <w:pPr>
              <w:pStyle w:val="ListParagraph"/>
              <w:tabs>
                <w:tab w:val="center" w:pos="1723"/>
                <w:tab w:val="center" w:pos="6008"/>
              </w:tabs>
              <w:spacing w:after="28"/>
              <w:rPr>
                <w:rFonts w:ascii="Times New Roman" w:eastAsia="Times New Roman" w:hAnsi="Times New Roman" w:cs="Times New Roman"/>
                <w:color w:val="181717"/>
              </w:rPr>
            </w:pPr>
            <w:r w:rsidRPr="00C766FC">
              <w:rPr>
                <w:rFonts w:ascii="Times New Roman" w:hAnsi="Times New Roman" w:cs="Times New Roman"/>
              </w:rPr>
              <w:t>• work closely with a range of organisations and charities, including military charities, to support your wider health and wellbeing needs.</w:t>
            </w:r>
          </w:p>
          <w:p w14:paraId="0FF0077E" w14:textId="77777777" w:rsidR="00C766FC" w:rsidRPr="00C766FC" w:rsidRDefault="00C766FC" w:rsidP="00C766FC">
            <w:pPr>
              <w:pStyle w:val="ListParagraph"/>
              <w:rPr>
                <w:rFonts w:ascii="Times New Roman" w:hAnsi="Times New Roman" w:cs="Times New Roman"/>
              </w:rPr>
            </w:pPr>
          </w:p>
          <w:p w14:paraId="4B5A29C2" w14:textId="1B27505A" w:rsidR="00C766FC" w:rsidRPr="008B1AF9" w:rsidRDefault="00B710C7" w:rsidP="00C766FC">
            <w:pPr>
              <w:pStyle w:val="ListParagraph"/>
              <w:numPr>
                <w:ilvl w:val="0"/>
                <w:numId w:val="2"/>
              </w:numPr>
              <w:tabs>
                <w:tab w:val="center" w:pos="1723"/>
                <w:tab w:val="center" w:pos="6008"/>
              </w:tabs>
              <w:spacing w:after="28"/>
              <w:rPr>
                <w:rFonts w:ascii="Times New Roman" w:eastAsia="Times New Roman" w:hAnsi="Times New Roman" w:cs="Times New Roman"/>
                <w:color w:val="181717"/>
              </w:rPr>
            </w:pPr>
            <w:r w:rsidRPr="00C766FC">
              <w:rPr>
                <w:rFonts w:ascii="Times New Roman" w:hAnsi="Times New Roman" w:cs="Times New Roman"/>
              </w:rPr>
              <w:t>With your agreement, it can sometimes be helpful for your doctor to refer you to Armed Forces charities, such as SSAFA, the Royal British Legion, Combat Stress or Help for Heroes. They can often offer significant help and support, even if they do not all deliver healthcare.</w:t>
            </w:r>
          </w:p>
          <w:p w14:paraId="4E42512E" w14:textId="77777777" w:rsidR="008B1AF9" w:rsidRPr="00C766FC" w:rsidRDefault="008B1AF9" w:rsidP="008B1AF9">
            <w:pPr>
              <w:pStyle w:val="ListParagraph"/>
              <w:tabs>
                <w:tab w:val="center" w:pos="1723"/>
                <w:tab w:val="center" w:pos="6008"/>
              </w:tabs>
              <w:spacing w:after="28"/>
              <w:rPr>
                <w:rFonts w:ascii="Times New Roman" w:eastAsia="Times New Roman" w:hAnsi="Times New Roman" w:cs="Times New Roman"/>
                <w:color w:val="181717"/>
              </w:rPr>
            </w:pPr>
          </w:p>
          <w:p w14:paraId="43811EB2" w14:textId="66EFDE12" w:rsidR="009F51E1" w:rsidRPr="00C766FC" w:rsidRDefault="00B710C7" w:rsidP="00C766FC">
            <w:pPr>
              <w:pStyle w:val="ListParagraph"/>
              <w:numPr>
                <w:ilvl w:val="0"/>
                <w:numId w:val="2"/>
              </w:numPr>
              <w:tabs>
                <w:tab w:val="center" w:pos="1723"/>
                <w:tab w:val="center" w:pos="6008"/>
              </w:tabs>
              <w:spacing w:after="28"/>
              <w:rPr>
                <w:rFonts w:ascii="Times New Roman" w:eastAsia="Times New Roman" w:hAnsi="Times New Roman" w:cs="Times New Roman"/>
                <w:color w:val="181717"/>
                <w:sz w:val="24"/>
                <w:szCs w:val="24"/>
              </w:rPr>
            </w:pPr>
            <w:r w:rsidRPr="00C766FC">
              <w:rPr>
                <w:rFonts w:ascii="Times New Roman" w:hAnsi="Times New Roman" w:cs="Times New Roman"/>
              </w:rPr>
              <w:t>You may be worried about sharing information about your time in the Armed Forces. Please note that the NHS is bound by a confidentiality code of practice to ensure GPs, nurses and other people working within the NHS deliver a confidential service bound by law</w:t>
            </w:r>
          </w:p>
        </w:tc>
      </w:tr>
      <w:tr w:rsidR="009F51E1" w14:paraId="418DEBFE" w14:textId="77777777">
        <w:trPr>
          <w:trHeight w:val="2483"/>
        </w:trPr>
        <w:tc>
          <w:tcPr>
            <w:tcW w:w="0" w:type="auto"/>
            <w:vMerge/>
            <w:tcBorders>
              <w:top w:val="nil"/>
              <w:left w:val="nil"/>
              <w:bottom w:val="nil"/>
              <w:right w:val="nil"/>
            </w:tcBorders>
          </w:tcPr>
          <w:p w14:paraId="0DA9AE3C" w14:textId="77777777" w:rsidR="009F51E1" w:rsidRDefault="009F51E1"/>
        </w:tc>
      </w:tr>
      <w:tr w:rsidR="009F51E1" w14:paraId="208BDFF3" w14:textId="77777777">
        <w:trPr>
          <w:trHeight w:val="2550"/>
        </w:trPr>
        <w:tc>
          <w:tcPr>
            <w:tcW w:w="0" w:type="auto"/>
            <w:vMerge/>
            <w:tcBorders>
              <w:top w:val="nil"/>
              <w:left w:val="nil"/>
              <w:bottom w:val="nil"/>
              <w:right w:val="nil"/>
            </w:tcBorders>
          </w:tcPr>
          <w:p w14:paraId="7CA351F3" w14:textId="77777777" w:rsidR="009F51E1" w:rsidRDefault="009F51E1"/>
        </w:tc>
      </w:tr>
      <w:tr w:rsidR="009F51E1" w14:paraId="7A904917" w14:textId="77777777">
        <w:trPr>
          <w:trHeight w:val="893"/>
        </w:trPr>
        <w:tc>
          <w:tcPr>
            <w:tcW w:w="7994" w:type="dxa"/>
            <w:tcBorders>
              <w:top w:val="nil"/>
              <w:left w:val="nil"/>
              <w:bottom w:val="nil"/>
              <w:right w:val="nil"/>
            </w:tcBorders>
            <w:shd w:val="clear" w:color="auto" w:fill="1D2F4E"/>
            <w:vAlign w:val="center"/>
          </w:tcPr>
          <w:p w14:paraId="311B2CBE" w14:textId="77777777" w:rsidR="009F51E1" w:rsidRDefault="008B1AF9">
            <w:r>
              <w:rPr>
                <w:rFonts w:ascii="Arial" w:eastAsia="Arial" w:hAnsi="Arial" w:cs="Arial"/>
                <w:color w:val="FFFEFD"/>
                <w:sz w:val="20"/>
              </w:rPr>
              <w:t xml:space="preserve">For more information, speak to your GP or visit the NHS website </w:t>
            </w:r>
            <w:proofErr w:type="gramStart"/>
            <w:r>
              <w:rPr>
                <w:rFonts w:ascii="Arial" w:eastAsia="Arial" w:hAnsi="Arial" w:cs="Arial"/>
                <w:color w:val="FFFEFD"/>
                <w:sz w:val="20"/>
              </w:rPr>
              <w:t xml:space="preserve">at  </w:t>
            </w:r>
            <w:r>
              <w:rPr>
                <w:rFonts w:ascii="Arial" w:eastAsia="Arial" w:hAnsi="Arial" w:cs="Arial"/>
                <w:b/>
                <w:color w:val="FFFEFD"/>
                <w:sz w:val="20"/>
              </w:rPr>
              <w:t>www.nhs.uk/armedforceshealth</w:t>
            </w:r>
            <w:proofErr w:type="gramEnd"/>
            <w:r>
              <w:rPr>
                <w:rFonts w:ascii="Arial" w:eastAsia="Arial" w:hAnsi="Arial" w:cs="Arial"/>
                <w:b/>
                <w:color w:val="FFFEFD"/>
                <w:sz w:val="20"/>
              </w:rPr>
              <w:t xml:space="preserve">   </w:t>
            </w:r>
            <w:r>
              <w:rPr>
                <w:noProof/>
              </w:rPr>
              <mc:AlternateContent>
                <mc:Choice Requires="wpg">
                  <w:drawing>
                    <wp:inline distT="0" distB="0" distL="0" distR="0" wp14:anchorId="1A4F7723" wp14:editId="4536EDEC">
                      <wp:extent cx="164224" cy="133427"/>
                      <wp:effectExtent l="0" t="0" r="0" b="0"/>
                      <wp:docPr id="2789" name="Group 2789" descr="twitter"/>
                      <wp:cNvGraphicFramePr/>
                      <a:graphic xmlns:a="http://schemas.openxmlformats.org/drawingml/2006/main">
                        <a:graphicData uri="http://schemas.microsoft.com/office/word/2010/wordprocessingGroup">
                          <wpg:wgp>
                            <wpg:cNvGrpSpPr/>
                            <wpg:grpSpPr>
                              <a:xfrm>
                                <a:off x="0" y="0"/>
                                <a:ext cx="164224" cy="133427"/>
                                <a:chOff x="0" y="0"/>
                                <a:chExt cx="164224" cy="133427"/>
                              </a:xfrm>
                            </wpg:grpSpPr>
                            <wps:wsp>
                              <wps:cNvPr id="481" name="Shape 481"/>
                              <wps:cNvSpPr/>
                              <wps:spPr>
                                <a:xfrm>
                                  <a:off x="0" y="0"/>
                                  <a:ext cx="164224" cy="133427"/>
                                </a:xfrm>
                                <a:custGeom>
                                  <a:avLst/>
                                  <a:gdLst/>
                                  <a:ahLst/>
                                  <a:cxnLst/>
                                  <a:rect l="0" t="0" r="0" b="0"/>
                                  <a:pathLst>
                                    <a:path w="164224" h="133427">
                                      <a:moveTo>
                                        <a:pt x="113690" y="0"/>
                                      </a:moveTo>
                                      <a:cubicBezTo>
                                        <a:pt x="123304" y="0"/>
                                        <a:pt x="132105" y="4077"/>
                                        <a:pt x="138290" y="10655"/>
                                      </a:cubicBezTo>
                                      <a:cubicBezTo>
                                        <a:pt x="145948" y="9131"/>
                                        <a:pt x="153124" y="6388"/>
                                        <a:pt x="159639" y="2502"/>
                                      </a:cubicBezTo>
                                      <a:cubicBezTo>
                                        <a:pt x="157137" y="10402"/>
                                        <a:pt x="151803" y="16955"/>
                                        <a:pt x="144831" y="21120"/>
                                      </a:cubicBezTo>
                                      <a:cubicBezTo>
                                        <a:pt x="151613" y="20257"/>
                                        <a:pt x="158115" y="18479"/>
                                        <a:pt x="164224" y="15799"/>
                                      </a:cubicBezTo>
                                      <a:cubicBezTo>
                                        <a:pt x="159652" y="22619"/>
                                        <a:pt x="154038" y="28537"/>
                                        <a:pt x="147345" y="33274"/>
                                      </a:cubicBezTo>
                                      <a:cubicBezTo>
                                        <a:pt x="147422" y="34710"/>
                                        <a:pt x="147472" y="36144"/>
                                        <a:pt x="147472" y="37630"/>
                                      </a:cubicBezTo>
                                      <a:cubicBezTo>
                                        <a:pt x="147472" y="82118"/>
                                        <a:pt x="113602" y="133427"/>
                                        <a:pt x="51651" y="133427"/>
                                      </a:cubicBezTo>
                                      <a:cubicBezTo>
                                        <a:pt x="32588" y="133427"/>
                                        <a:pt x="14923" y="127940"/>
                                        <a:pt x="0" y="118326"/>
                                      </a:cubicBezTo>
                                      <a:cubicBezTo>
                                        <a:pt x="2654" y="118656"/>
                                        <a:pt x="5296" y="118783"/>
                                        <a:pt x="8064" y="118783"/>
                                      </a:cubicBezTo>
                                      <a:cubicBezTo>
                                        <a:pt x="23813" y="118783"/>
                                        <a:pt x="38354" y="113386"/>
                                        <a:pt x="49809" y="104420"/>
                                      </a:cubicBezTo>
                                      <a:cubicBezTo>
                                        <a:pt x="35090" y="104102"/>
                                        <a:pt x="22708" y="94311"/>
                                        <a:pt x="18352" y="80976"/>
                                      </a:cubicBezTo>
                                      <a:cubicBezTo>
                                        <a:pt x="20383" y="81420"/>
                                        <a:pt x="22568" y="81547"/>
                                        <a:pt x="24727" y="81547"/>
                                      </a:cubicBezTo>
                                      <a:cubicBezTo>
                                        <a:pt x="27826" y="81547"/>
                                        <a:pt x="30810" y="81191"/>
                                        <a:pt x="33553" y="80442"/>
                                      </a:cubicBezTo>
                                      <a:cubicBezTo>
                                        <a:pt x="18250" y="77305"/>
                                        <a:pt x="6579" y="63716"/>
                                        <a:pt x="6579" y="47358"/>
                                      </a:cubicBezTo>
                                      <a:lnTo>
                                        <a:pt x="6579" y="46990"/>
                                      </a:lnTo>
                                      <a:cubicBezTo>
                                        <a:pt x="11074" y="49467"/>
                                        <a:pt x="16370" y="51029"/>
                                        <a:pt x="21780" y="51130"/>
                                      </a:cubicBezTo>
                                      <a:cubicBezTo>
                                        <a:pt x="12840" y="45148"/>
                                        <a:pt x="6833" y="34823"/>
                                        <a:pt x="6833" y="23152"/>
                                      </a:cubicBezTo>
                                      <a:cubicBezTo>
                                        <a:pt x="6833" y="16955"/>
                                        <a:pt x="8534" y="11176"/>
                                        <a:pt x="11443" y="6147"/>
                                      </a:cubicBezTo>
                                      <a:cubicBezTo>
                                        <a:pt x="28080" y="26581"/>
                                        <a:pt x="52845" y="39993"/>
                                        <a:pt x="80836" y="41352"/>
                                      </a:cubicBezTo>
                                      <a:cubicBezTo>
                                        <a:pt x="80277" y="38913"/>
                                        <a:pt x="80048" y="36347"/>
                                        <a:pt x="80048" y="33681"/>
                                      </a:cubicBezTo>
                                      <a:cubicBezTo>
                                        <a:pt x="80048" y="15126"/>
                                        <a:pt x="95060" y="0"/>
                                        <a:pt x="113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A2124D3" id="Group 2789" o:spid="_x0000_s1026" alt="twitter" style="width:12.95pt;height:10.5pt;mso-position-horizontal-relative:char;mso-position-vertical-relative:line" coordsize="164224,13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">
                      <v:shape id="Shape 481" o:spid="_x0000_s1027" style="position:absolute;width:164224;height:133427;visibility:visible;mso-wrap-style:square;v-text-anchor:top" coordsize="164224,13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" path="m113690,v9614,,18415,4077,24600,10655c145948,9131,153124,6388,159639,2502v-2502,7900,-7836,14453,-14808,18618c151613,20257,158115,18479,164224,15799v-4572,6820,-10186,12738,-16879,17475c147422,34710,147472,36144,147472,37630v,44488,-33870,95797,-95821,95797c32588,133427,14923,127940,,118326v2654,330,5296,457,8064,457c23813,118783,38354,113386,49809,104420,35090,104102,22708,94311,18352,80976v2031,444,4216,571,6375,571c27826,81547,30810,81191,33553,80442,18250,77305,6579,63716,6579,47358r,-368c11074,49467,16370,51029,21780,51130,12840,45148,6833,34823,6833,23152v,-6197,1701,-11976,4610,-17005c28080,26581,52845,39993,80836,41352v-559,-2439,-788,-5005,-788,-7671c80048,15126,95060,,113690,xe" fillcolor="#fffefd" stroked="f" strokeweight="0">
                        <v:stroke miterlimit="83231f" joinstyle="miter"/>
                        <v:path arrowok="t" textboxrect="0,0,164224,133427"/>
                      </v:shape>
                      <w10:anchorlock/>
                    </v:group>
                  </w:pict>
                </mc:Fallback>
              </mc:AlternateContent>
            </w:r>
            <w:r>
              <w:rPr>
                <w:rFonts w:ascii="Arial" w:eastAsia="Arial" w:hAnsi="Arial" w:cs="Arial"/>
                <w:b/>
                <w:color w:val="FFFEFD"/>
                <w:sz w:val="20"/>
              </w:rPr>
              <w:tab/>
              <w:t xml:space="preserve"> Twitter @NHSArmedForces</w:t>
            </w:r>
          </w:p>
        </w:tc>
      </w:tr>
    </w:tbl>
    <w:p w14:paraId="0C50EFEB" w14:textId="77777777" w:rsidR="00EB5377" w:rsidRDefault="00EB5377"/>
    <w:sectPr w:rsidR="00EB5377">
      <w:pgSz w:w="8391" w:h="11906"/>
      <w:pgMar w:top="221" w:right="1440" w:bottom="15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37DCA"/>
    <w:multiLevelType w:val="hybridMultilevel"/>
    <w:tmpl w:val="6ADAB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4D3D73"/>
    <w:multiLevelType w:val="hybridMultilevel"/>
    <w:tmpl w:val="4F8C3526"/>
    <w:lvl w:ilvl="0" w:tplc="631496AE">
      <w:start w:val="2"/>
      <w:numFmt w:val="decimal"/>
      <w:lvlText w:val="%1."/>
      <w:lvlJc w:val="left"/>
      <w:pPr>
        <w:ind w:left="510"/>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1" w:tplc="24262680">
      <w:start w:val="1"/>
      <w:numFmt w:val="lowerLetter"/>
      <w:lvlText w:val="%2"/>
      <w:lvlJc w:val="left"/>
      <w:pPr>
        <w:ind w:left="133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2" w:tplc="3E4AEDB6">
      <w:start w:val="1"/>
      <w:numFmt w:val="lowerRoman"/>
      <w:lvlText w:val="%3"/>
      <w:lvlJc w:val="left"/>
      <w:pPr>
        <w:ind w:left="205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3" w:tplc="EF2AE116">
      <w:start w:val="1"/>
      <w:numFmt w:val="decimal"/>
      <w:lvlText w:val="%4"/>
      <w:lvlJc w:val="left"/>
      <w:pPr>
        <w:ind w:left="277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4" w:tplc="90AA46C8">
      <w:start w:val="1"/>
      <w:numFmt w:val="lowerLetter"/>
      <w:lvlText w:val="%5"/>
      <w:lvlJc w:val="left"/>
      <w:pPr>
        <w:ind w:left="349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5" w:tplc="E1D89C3A">
      <w:start w:val="1"/>
      <w:numFmt w:val="lowerRoman"/>
      <w:lvlText w:val="%6"/>
      <w:lvlJc w:val="left"/>
      <w:pPr>
        <w:ind w:left="421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6" w:tplc="E6282CE4">
      <w:start w:val="1"/>
      <w:numFmt w:val="decimal"/>
      <w:lvlText w:val="%7"/>
      <w:lvlJc w:val="left"/>
      <w:pPr>
        <w:ind w:left="493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7" w:tplc="7F789D76">
      <w:start w:val="1"/>
      <w:numFmt w:val="lowerLetter"/>
      <w:lvlText w:val="%8"/>
      <w:lvlJc w:val="left"/>
      <w:pPr>
        <w:ind w:left="565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lvl w:ilvl="8" w:tplc="2F3A14FA">
      <w:start w:val="1"/>
      <w:numFmt w:val="lowerRoman"/>
      <w:lvlText w:val="%9"/>
      <w:lvlJc w:val="left"/>
      <w:pPr>
        <w:ind w:left="6375"/>
      </w:pPr>
      <w:rPr>
        <w:rFonts w:ascii="Times New Roman" w:eastAsia="Times New Roman" w:hAnsi="Times New Roman" w:cs="Times New Roman"/>
        <w:b w:val="0"/>
        <w:i w:val="0"/>
        <w:strike w:val="0"/>
        <w:dstrike w:val="0"/>
        <w:color w:val="888382"/>
        <w:sz w:val="44"/>
        <w:szCs w:val="44"/>
        <w:u w:val="none" w:color="000000"/>
        <w:bdr w:val="none" w:sz="0" w:space="0" w:color="auto"/>
        <w:shd w:val="clear" w:color="auto" w:fill="auto"/>
        <w:vertAlign w:val="baseline"/>
      </w:rPr>
    </w:lvl>
  </w:abstractNum>
  <w:num w:numId="1" w16cid:durableId="232737323">
    <w:abstractNumId w:val="1"/>
  </w:num>
  <w:num w:numId="2" w16cid:durableId="1030955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1E1"/>
    <w:rsid w:val="003E10D3"/>
    <w:rsid w:val="008B1AF9"/>
    <w:rsid w:val="009F51E1"/>
    <w:rsid w:val="00B710C7"/>
    <w:rsid w:val="00C766FC"/>
    <w:rsid w:val="00D943C8"/>
    <w:rsid w:val="00EB5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A5160"/>
  <w15:docId w15:val="{05053F68-946A-4559-9E52-A5C1FE23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710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Top tips for the military Veteran</vt:lpstr>
    </vt:vector>
  </TitlesOfParts>
  <Company>NECS NHS</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tips for the military Veteran</dc:title>
  <dc:subject>Top tips for the military Veteran  – how to get 
the most from your GP</dc:subject>
  <dc:creator>NHS</dc:creator>
  <cp:keywords/>
  <cp:lastModifiedBy>Amy Griffiths</cp:lastModifiedBy>
  <cp:revision>3</cp:revision>
  <dcterms:created xsi:type="dcterms:W3CDTF">2023-01-25T09:54:00Z</dcterms:created>
  <dcterms:modified xsi:type="dcterms:W3CDTF">2023-01-25T10:45:00Z</dcterms:modified>
</cp:coreProperties>
</file>